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流式专用细胞保存液 II型说明书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RC05612</w:t>
      </w:r>
    </w:p>
    <w:bookmarkEnd w:id="0"/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订购信息：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072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307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产品编号</w:t>
            </w:r>
          </w:p>
        </w:tc>
        <w:tc>
          <w:tcPr>
            <w:tcW w:w="307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307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7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RC05612-15ml</w:t>
            </w:r>
          </w:p>
        </w:tc>
        <w:tc>
          <w:tcPr>
            <w:tcW w:w="3072" w:type="dxa"/>
          </w:tcPr>
          <w:p>
            <w:pPr>
              <w:spacing w:beforeLines="0" w:after="75" w:afterLines="0" w:line="360" w:lineRule="auto"/>
              <w:ind w:right="225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流式专用细胞保存液 II型</w:t>
            </w:r>
          </w:p>
        </w:tc>
        <w:tc>
          <w:tcPr>
            <w:tcW w:w="3072" w:type="dxa"/>
          </w:tcPr>
          <w:p>
            <w:pPr>
              <w:spacing w:beforeLines="0" w:after="75" w:afterLines="0" w:line="240" w:lineRule="auto"/>
              <w:ind w:right="22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15ml/瓶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预期用途：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用于保存、运输取自人体的细胞，仅用于体外分析检测目的，不用于治疗性用途。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用法及用量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适用于流式细胞样本保存。管装细胞保存液每管保存样本1.5-2.5ml ;瓶装细胞保存液，其用量为样本量的1/10-1/6，推荐最佳用量1/8。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主要组成成份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产品由Na2HPO4、KH2PO4、NaCl、 KC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 聚乙二醇、葡萄糖、柠檬酸、纯化水等组成，PH7.2~ 7.5。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从采集流式细胞标本(骨髓、外周血、淋巴结组织等)开始保护样本，保证抗原表达稳定性;适用于免疫分型、淋巴细胞亚群检测、PNH 检测等项目，保证标本质量，从而保证结果的稳定性和正确性，避免诊断错误;对于罕见病例样本或标本检测抗体供应不上时，采用细胞保存液较长时间保存，有助于完善抗体标记，对病例实现完整而全面的检测和诊断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适用于待检流式标本的体外分析检测、表面和胞内CD分子检测，实现多次收集、一次批量检测，既节省了科研时间和精力，又避免了多次处理、检测时仪器或试剂变化对结果的影响。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  <w:t>II型细胞保存液含有特殊营养制剂，对细胞各种物理指标和抗原表达没有影响，细胞可以继续培养，可以进行死活染料标记，不会溶血。样本可稳定保存七天。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适用样本类型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外周血、骨髓、组织、胸水、腹水、脑脊液等。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细胞标本采集和保存要求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管装:打开管塞，将采集的细胞样本直接注入管内，上下颠倒混合10次，每管仅限采集一个样本，样本量限1.5-2.5ml。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瓶装:将细胞保存液加入样本中，细胞保存液用量为样本量的1/10-1/6。上下颠倒混合10次或移液器轻轻吹打，使样本与细胞保存液充分混匀。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样本与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II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型细胞保存液混合均匀后，于2-8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可稳定保存7天。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储存条件及有效期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产品需保存于2~8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，有效期为2年。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产品用量和样本量之间的比例需严格控制，且需确保充分混匀。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采集细胞样本应保证新鲜，以保证保存效果。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产品有破损或泄露，禁止使用。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本产品仅用于体外诊断。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 使用时，要将样本与细胞保存液充分混匀后保存。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3F82"/>
    <w:multiLevelType w:val="singleLevel"/>
    <w:tmpl w:val="392B3F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7BA2EB"/>
    <w:multiLevelType w:val="singleLevel"/>
    <w:tmpl w:val="3D7BA2E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A160B13"/>
    <w:rsid w:val="0CD03759"/>
    <w:rsid w:val="0E05003A"/>
    <w:rsid w:val="0EF37BC9"/>
    <w:rsid w:val="10B937BA"/>
    <w:rsid w:val="133270C2"/>
    <w:rsid w:val="13747265"/>
    <w:rsid w:val="15094E42"/>
    <w:rsid w:val="17BE39E4"/>
    <w:rsid w:val="17C72D48"/>
    <w:rsid w:val="1A111D38"/>
    <w:rsid w:val="1C4A5DCF"/>
    <w:rsid w:val="1DE47B23"/>
    <w:rsid w:val="1ECA2316"/>
    <w:rsid w:val="1ED51427"/>
    <w:rsid w:val="206B29DA"/>
    <w:rsid w:val="23FF188A"/>
    <w:rsid w:val="25931122"/>
    <w:rsid w:val="27E1458F"/>
    <w:rsid w:val="29126F5D"/>
    <w:rsid w:val="2A5B29F9"/>
    <w:rsid w:val="2B0A5988"/>
    <w:rsid w:val="2C500100"/>
    <w:rsid w:val="2E4C2474"/>
    <w:rsid w:val="2ECF3CC2"/>
    <w:rsid w:val="3098481A"/>
    <w:rsid w:val="324159A6"/>
    <w:rsid w:val="32697AD0"/>
    <w:rsid w:val="383D440E"/>
    <w:rsid w:val="393E678C"/>
    <w:rsid w:val="3DE12D46"/>
    <w:rsid w:val="3F1578F8"/>
    <w:rsid w:val="41E11C5E"/>
    <w:rsid w:val="420D54F7"/>
    <w:rsid w:val="436A76C0"/>
    <w:rsid w:val="436C7D7E"/>
    <w:rsid w:val="43967FFB"/>
    <w:rsid w:val="47EA0923"/>
    <w:rsid w:val="48DF7540"/>
    <w:rsid w:val="4B1D1D88"/>
    <w:rsid w:val="4F6010CA"/>
    <w:rsid w:val="501C2232"/>
    <w:rsid w:val="517B11FD"/>
    <w:rsid w:val="522B07B3"/>
    <w:rsid w:val="524C4A25"/>
    <w:rsid w:val="58E43842"/>
    <w:rsid w:val="5AC853F2"/>
    <w:rsid w:val="5B5F4D7C"/>
    <w:rsid w:val="5CC90C33"/>
    <w:rsid w:val="5DEC0ED8"/>
    <w:rsid w:val="60340CB9"/>
    <w:rsid w:val="60B92B56"/>
    <w:rsid w:val="623A6919"/>
    <w:rsid w:val="628B1E38"/>
    <w:rsid w:val="629C1EE8"/>
    <w:rsid w:val="62F767F2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5106537"/>
    <w:rsid w:val="75A16D6B"/>
    <w:rsid w:val="78ED7825"/>
    <w:rsid w:val="79E44FEE"/>
    <w:rsid w:val="7BD1728A"/>
    <w:rsid w:val="7CDE1C6F"/>
    <w:rsid w:val="7E1079ED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2020-08-07T07:42:16Z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